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773" w:rsidRDefault="00AC7A63" w:rsidP="00AC7A63">
      <w:pPr>
        <w:pStyle w:val="a3"/>
        <w:spacing w:before="89" w:line="322" w:lineRule="exact"/>
        <w:ind w:left="2334" w:right="2078"/>
        <w:jc w:val="center"/>
      </w:pPr>
      <w:r>
        <w:rPr>
          <w:color w:val="333333"/>
        </w:rPr>
        <w:t>Обобщенная информация</w:t>
      </w:r>
      <w:r w:rsidRPr="00AC7A63">
        <w:rPr>
          <w:color w:val="333333"/>
        </w:rPr>
        <w:t xml:space="preserve"> </w:t>
      </w:r>
      <w:r>
        <w:rPr>
          <w:color w:val="333333"/>
        </w:rPr>
        <w:t>об исполнении (о ненадлежащем исполнении)</w:t>
      </w:r>
    </w:p>
    <w:p w:rsidR="00845773" w:rsidRDefault="00AC7A63">
      <w:pPr>
        <w:pStyle w:val="a3"/>
        <w:spacing w:before="1"/>
        <w:ind w:left="2334" w:right="2083"/>
        <w:jc w:val="center"/>
      </w:pPr>
      <w:r>
        <w:rPr>
          <w:color w:val="333333"/>
        </w:rPr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за 2022 год</w:t>
      </w:r>
    </w:p>
    <w:p w:rsidR="00845773" w:rsidRDefault="00845773">
      <w:pPr>
        <w:spacing w:before="5"/>
        <w:rPr>
          <w:b/>
          <w:sz w:val="27"/>
        </w:rPr>
      </w:pPr>
    </w:p>
    <w:p w:rsidR="00845773" w:rsidRDefault="00AC7A63">
      <w:pPr>
        <w:spacing w:before="1"/>
        <w:ind w:left="2328" w:right="2083"/>
        <w:jc w:val="center"/>
        <w:rPr>
          <w:sz w:val="28"/>
        </w:rPr>
      </w:pPr>
      <w:r>
        <w:rPr>
          <w:color w:val="333333"/>
          <w:sz w:val="28"/>
        </w:rPr>
        <w:t>Совет муниципального района «Заполярный район» Ненецкого автономного округа»</w:t>
      </w:r>
    </w:p>
    <w:p w:rsidR="00845773" w:rsidRDefault="00AC7A63">
      <w:pPr>
        <w:spacing w:before="7"/>
        <w:rPr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2689860</wp:posOffset>
                </wp:positionH>
                <wp:positionV relativeFrom="paragraph">
                  <wp:posOffset>197485</wp:posOffset>
                </wp:positionV>
                <wp:extent cx="5514340" cy="7620"/>
                <wp:effectExtent l="13335" t="4445" r="6350" b="698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4340" cy="7620"/>
                          <a:chOff x="4236" y="311"/>
                          <a:chExt cx="8684" cy="12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236" y="317"/>
                            <a:ext cx="560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32323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839" y="317"/>
                            <a:ext cx="308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32323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EBE47" id="Group 2" o:spid="_x0000_s1026" style="position:absolute;margin-left:211.8pt;margin-top:15.55pt;width:434.2pt;height:.6pt;z-index:-251658240;mso-wrap-distance-left:0;mso-wrap-distance-right:0;mso-position-horizontal-relative:page" coordorigin="4236,311" coordsize="86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">
                <v:line id="Line 4" o:spid="_x0000_s1027" style="position:absolute;visibility:visible;mso-wrap-style:square" from="4236,317" to="9836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" strokecolor="#323232" strokeweight=".19811mm"/>
                <v:line id="Line 3" o:spid="_x0000_s1028" style="position:absolute;visibility:visible;mso-wrap-style:square" from="9839,317" to="12920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" strokecolor="#323232" strokeweight=".19811mm"/>
                <w10:wrap type="topAndBottom" anchorx="page"/>
              </v:group>
            </w:pict>
          </mc:Fallback>
        </mc:AlternateContent>
      </w:r>
    </w:p>
    <w:p w:rsidR="00845773" w:rsidRDefault="00AC7A63">
      <w:pPr>
        <w:spacing w:line="200" w:lineRule="exact"/>
        <w:ind w:left="3482"/>
        <w:rPr>
          <w:sz w:val="20"/>
        </w:rPr>
      </w:pPr>
      <w:r>
        <w:rPr>
          <w:color w:val="333333"/>
          <w:sz w:val="20"/>
        </w:rPr>
        <w:t>(наименование представительного органа муниципального образования Ненецкого автономного округа)</w:t>
      </w:r>
    </w:p>
    <w:p w:rsidR="00845773" w:rsidRDefault="00845773">
      <w:pPr>
        <w:spacing w:before="7"/>
        <w:rPr>
          <w:sz w:val="24"/>
        </w:rPr>
      </w:pPr>
    </w:p>
    <w:tbl>
      <w:tblPr>
        <w:tblStyle w:val="TableNormal"/>
        <w:tblW w:w="14891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8"/>
        <w:gridCol w:w="4159"/>
        <w:gridCol w:w="3856"/>
        <w:gridCol w:w="3608"/>
      </w:tblGrid>
      <w:tr w:rsidR="00845773" w:rsidRPr="00966BA8" w:rsidTr="00966BA8">
        <w:trPr>
          <w:trHeight w:val="4966"/>
        </w:trPr>
        <w:tc>
          <w:tcPr>
            <w:tcW w:w="3268" w:type="dxa"/>
          </w:tcPr>
          <w:p w:rsidR="00845773" w:rsidRPr="00966BA8" w:rsidRDefault="00AC7A63" w:rsidP="00966BA8">
            <w:pPr>
              <w:pStyle w:val="TableParagraph"/>
              <w:ind w:left="364" w:right="356"/>
              <w:rPr>
                <w:sz w:val="24"/>
              </w:rPr>
            </w:pPr>
            <w:r w:rsidRPr="00966BA8">
              <w:rPr>
                <w:color w:val="333333"/>
                <w:sz w:val="24"/>
              </w:rPr>
              <w:t>Количество лиц, замещающих муниципальные должности</w:t>
            </w:r>
            <w:r w:rsidR="00966BA8">
              <w:rPr>
                <w:color w:val="333333"/>
                <w:sz w:val="24"/>
              </w:rPr>
              <w:t xml:space="preserve"> </w:t>
            </w:r>
            <w:r w:rsidRPr="00966BA8">
              <w:rPr>
                <w:color w:val="333333"/>
                <w:sz w:val="24"/>
              </w:rPr>
              <w:t>депутата представительного органа муниципального образования</w:t>
            </w:r>
          </w:p>
        </w:tc>
        <w:tc>
          <w:tcPr>
            <w:tcW w:w="4159" w:type="dxa"/>
          </w:tcPr>
          <w:p w:rsidR="00845773" w:rsidRPr="00966BA8" w:rsidRDefault="00AC7A63" w:rsidP="00966BA8">
            <w:pPr>
              <w:pStyle w:val="TableParagraph"/>
              <w:ind w:right="168"/>
              <w:rPr>
                <w:sz w:val="24"/>
              </w:rPr>
            </w:pPr>
            <w:r w:rsidRPr="00966BA8">
              <w:rPr>
                <w:color w:val="333333"/>
                <w:sz w:val="24"/>
              </w:rPr>
              <w:t>Количество лиц, замещающих муниципальные должности</w:t>
            </w:r>
            <w:r w:rsidR="00966BA8">
              <w:rPr>
                <w:color w:val="333333"/>
                <w:sz w:val="24"/>
              </w:rPr>
              <w:t xml:space="preserve"> </w:t>
            </w:r>
            <w:r w:rsidRPr="00966BA8">
              <w:rPr>
                <w:color w:val="333333"/>
                <w:sz w:val="24"/>
              </w:rPr>
              <w:t>депутата</w:t>
            </w:r>
          </w:p>
          <w:p w:rsidR="00845773" w:rsidRPr="00966BA8" w:rsidRDefault="00AC7A63">
            <w:pPr>
              <w:pStyle w:val="TableParagraph"/>
              <w:ind w:left="369" w:right="368" w:firstLine="1"/>
              <w:rPr>
                <w:sz w:val="24"/>
              </w:rPr>
            </w:pPr>
            <w:r w:rsidRPr="00966BA8">
              <w:rPr>
                <w:color w:val="333333"/>
                <w:sz w:val="24"/>
              </w:rPr>
              <w:t>представительного органа муниципального образования, исполнивших обязанность</w:t>
            </w:r>
          </w:p>
          <w:p w:rsidR="00845773" w:rsidRPr="00966BA8" w:rsidRDefault="00AC7A63" w:rsidP="00966BA8">
            <w:pPr>
              <w:pStyle w:val="TableParagraph"/>
              <w:ind w:left="0" w:right="48"/>
              <w:rPr>
                <w:sz w:val="24"/>
              </w:rPr>
            </w:pPr>
            <w:r w:rsidRPr="00966BA8">
              <w:rPr>
                <w:color w:val="333333"/>
                <w:sz w:val="24"/>
              </w:rPr>
              <w:t>по представлению сведений о доходах,</w:t>
            </w:r>
          </w:p>
          <w:p w:rsidR="00845773" w:rsidRPr="00966BA8" w:rsidRDefault="00AC7A63">
            <w:pPr>
              <w:pStyle w:val="TableParagraph"/>
              <w:ind w:left="261" w:right="258" w:hanging="3"/>
              <w:rPr>
                <w:sz w:val="24"/>
              </w:rPr>
            </w:pPr>
            <w:r w:rsidRPr="00966BA8">
              <w:rPr>
                <w:color w:val="333333"/>
                <w:sz w:val="24"/>
              </w:rPr>
              <w:t>расходах, об имуществе и обязательствах имущественного характера</w:t>
            </w:r>
          </w:p>
        </w:tc>
        <w:tc>
          <w:tcPr>
            <w:tcW w:w="3856" w:type="dxa"/>
          </w:tcPr>
          <w:p w:rsidR="00845773" w:rsidRPr="00966BA8" w:rsidRDefault="00AC7A63" w:rsidP="00966BA8">
            <w:pPr>
              <w:pStyle w:val="TableParagraph"/>
              <w:ind w:left="0" w:right="76"/>
              <w:rPr>
                <w:sz w:val="24"/>
              </w:rPr>
            </w:pPr>
            <w:r w:rsidRPr="00966BA8">
              <w:rPr>
                <w:color w:val="333333"/>
                <w:sz w:val="24"/>
              </w:rPr>
              <w:t>Количество лиц, замещающих муниципальные должности</w:t>
            </w:r>
            <w:bookmarkStart w:id="0" w:name="_GoBack"/>
            <w:bookmarkEnd w:id="0"/>
          </w:p>
          <w:p w:rsidR="00845773" w:rsidRPr="00966BA8" w:rsidRDefault="00AC7A63">
            <w:pPr>
              <w:pStyle w:val="TableParagraph"/>
              <w:ind w:left="169"/>
              <w:rPr>
                <w:sz w:val="24"/>
              </w:rPr>
            </w:pPr>
            <w:r w:rsidRPr="00966BA8">
              <w:rPr>
                <w:color w:val="333333"/>
                <w:sz w:val="24"/>
              </w:rPr>
              <w:t>депутата</w:t>
            </w:r>
          </w:p>
          <w:p w:rsidR="00845773" w:rsidRPr="00966BA8" w:rsidRDefault="00AC7A63">
            <w:pPr>
              <w:pStyle w:val="TableParagraph"/>
              <w:ind w:left="368" w:right="369" w:firstLine="1"/>
              <w:rPr>
                <w:sz w:val="24"/>
              </w:rPr>
            </w:pPr>
            <w:r w:rsidRPr="00966BA8">
              <w:rPr>
                <w:color w:val="333333"/>
                <w:sz w:val="24"/>
              </w:rPr>
              <w:t>представительного органа муниципального образования, осуществляющих свои полномочия</w:t>
            </w:r>
          </w:p>
          <w:p w:rsidR="00845773" w:rsidRPr="00966BA8" w:rsidRDefault="00AC7A63">
            <w:pPr>
              <w:pStyle w:val="TableParagraph"/>
              <w:ind w:right="167"/>
              <w:rPr>
                <w:sz w:val="24"/>
              </w:rPr>
            </w:pPr>
            <w:r w:rsidRPr="00966BA8">
              <w:rPr>
                <w:color w:val="333333"/>
                <w:sz w:val="24"/>
              </w:rPr>
              <w:t>на непостоянной основе, сообщивших</w:t>
            </w:r>
          </w:p>
          <w:p w:rsidR="00845773" w:rsidRPr="00966BA8" w:rsidRDefault="00AC7A63">
            <w:pPr>
              <w:pStyle w:val="TableParagraph"/>
              <w:spacing w:line="237" w:lineRule="auto"/>
              <w:ind w:right="167"/>
              <w:rPr>
                <w:sz w:val="24"/>
              </w:rPr>
            </w:pPr>
            <w:r w:rsidRPr="00966BA8">
              <w:rPr>
                <w:color w:val="333333"/>
                <w:sz w:val="24"/>
              </w:rPr>
              <w:t>o том, что сделки, предусмотренные</w:t>
            </w:r>
          </w:p>
          <w:p w:rsidR="00845773" w:rsidRPr="00966BA8" w:rsidRDefault="00AC7A63">
            <w:pPr>
              <w:pStyle w:val="TableParagraph"/>
              <w:ind w:right="168"/>
              <w:rPr>
                <w:sz w:val="24"/>
              </w:rPr>
            </w:pPr>
            <w:r w:rsidRPr="00966BA8">
              <w:rPr>
                <w:color w:val="333333"/>
                <w:sz w:val="24"/>
              </w:rPr>
              <w:t>частью 1 статьи 3 Федерального закона «О контроле за соответствием</w:t>
            </w:r>
          </w:p>
          <w:p w:rsidR="00845773" w:rsidRPr="00966BA8" w:rsidRDefault="00AC7A63">
            <w:pPr>
              <w:pStyle w:val="TableParagraph"/>
              <w:ind w:left="335" w:right="334" w:firstLine="1"/>
              <w:rPr>
                <w:sz w:val="24"/>
              </w:rPr>
            </w:pPr>
            <w:r w:rsidRPr="00966BA8">
              <w:rPr>
                <w:color w:val="333333"/>
                <w:sz w:val="24"/>
              </w:rPr>
              <w:t>расходов лиц, замещающих государственные должности, и иных</w:t>
            </w:r>
          </w:p>
          <w:p w:rsidR="00845773" w:rsidRPr="00966BA8" w:rsidRDefault="00AC7A63">
            <w:pPr>
              <w:pStyle w:val="TableParagraph"/>
              <w:spacing w:line="264" w:lineRule="exact"/>
              <w:rPr>
                <w:sz w:val="24"/>
              </w:rPr>
            </w:pPr>
            <w:r w:rsidRPr="00966BA8">
              <w:rPr>
                <w:color w:val="333333"/>
                <w:sz w:val="24"/>
              </w:rPr>
              <w:t>лиц их доходам», не совершались</w:t>
            </w:r>
          </w:p>
        </w:tc>
        <w:tc>
          <w:tcPr>
            <w:tcW w:w="3608" w:type="dxa"/>
          </w:tcPr>
          <w:p w:rsidR="00845773" w:rsidRPr="00966BA8" w:rsidRDefault="00AC7A63">
            <w:pPr>
              <w:pStyle w:val="TableParagraph"/>
              <w:ind w:left="168"/>
              <w:rPr>
                <w:sz w:val="24"/>
              </w:rPr>
            </w:pPr>
            <w:r w:rsidRPr="00966BA8">
              <w:rPr>
                <w:color w:val="333333"/>
                <w:sz w:val="24"/>
              </w:rPr>
              <w:t>Количество лиц, замещающих муниципальные должности</w:t>
            </w:r>
          </w:p>
          <w:p w:rsidR="00845773" w:rsidRPr="00966BA8" w:rsidRDefault="00AC7A63" w:rsidP="00966BA8">
            <w:pPr>
              <w:pStyle w:val="TableParagraph"/>
              <w:ind w:left="66" w:right="0"/>
              <w:rPr>
                <w:sz w:val="24"/>
              </w:rPr>
            </w:pPr>
            <w:r w:rsidRPr="00966BA8">
              <w:rPr>
                <w:color w:val="333333"/>
                <w:sz w:val="24"/>
              </w:rPr>
              <w:t>депутата</w:t>
            </w:r>
          </w:p>
          <w:p w:rsidR="00845773" w:rsidRPr="00966BA8" w:rsidRDefault="00AC7A63">
            <w:pPr>
              <w:pStyle w:val="TableParagraph"/>
              <w:ind w:left="367" w:right="370" w:firstLine="1"/>
              <w:rPr>
                <w:sz w:val="24"/>
              </w:rPr>
            </w:pPr>
            <w:r w:rsidRPr="00966BA8">
              <w:rPr>
                <w:color w:val="333333"/>
                <w:sz w:val="24"/>
              </w:rPr>
              <w:t>представительного органа муниципального образования, ненадлежащим образом исполнивших</w:t>
            </w:r>
          </w:p>
          <w:p w:rsidR="00845773" w:rsidRPr="00966BA8" w:rsidRDefault="00AC7A63">
            <w:pPr>
              <w:pStyle w:val="TableParagraph"/>
              <w:ind w:left="168"/>
              <w:rPr>
                <w:sz w:val="24"/>
              </w:rPr>
            </w:pPr>
            <w:r w:rsidRPr="00966BA8">
              <w:rPr>
                <w:color w:val="333333"/>
                <w:sz w:val="24"/>
              </w:rPr>
              <w:t>обязанность по представлению сведений</w:t>
            </w:r>
          </w:p>
          <w:p w:rsidR="00845773" w:rsidRPr="00966BA8" w:rsidRDefault="00AC7A63">
            <w:pPr>
              <w:pStyle w:val="TableParagraph"/>
              <w:spacing w:line="275" w:lineRule="exact"/>
              <w:ind w:left="866" w:right="0"/>
              <w:jc w:val="left"/>
              <w:rPr>
                <w:sz w:val="24"/>
              </w:rPr>
            </w:pPr>
            <w:r w:rsidRPr="00966BA8">
              <w:rPr>
                <w:color w:val="333333"/>
                <w:sz w:val="24"/>
              </w:rPr>
              <w:t>o доходах, расходах,</w:t>
            </w:r>
          </w:p>
          <w:p w:rsidR="00845773" w:rsidRPr="00966BA8" w:rsidRDefault="00AC7A63">
            <w:pPr>
              <w:pStyle w:val="TableParagraph"/>
              <w:ind w:left="168"/>
              <w:rPr>
                <w:sz w:val="24"/>
              </w:rPr>
            </w:pPr>
            <w:r w:rsidRPr="00966BA8">
              <w:rPr>
                <w:color w:val="333333"/>
                <w:sz w:val="24"/>
              </w:rPr>
              <w:t>об имуществе и обязательствах имущественного характера</w:t>
            </w:r>
          </w:p>
        </w:tc>
      </w:tr>
      <w:tr w:rsidR="00845773" w:rsidRPr="00966BA8" w:rsidTr="00966BA8">
        <w:trPr>
          <w:trHeight w:val="120"/>
        </w:trPr>
        <w:tc>
          <w:tcPr>
            <w:tcW w:w="3268" w:type="dxa"/>
          </w:tcPr>
          <w:p w:rsidR="00845773" w:rsidRPr="00966BA8" w:rsidRDefault="00AC7A63">
            <w:pPr>
              <w:pStyle w:val="TableParagraph"/>
              <w:spacing w:line="292" w:lineRule="exact"/>
              <w:ind w:left="364" w:right="355"/>
              <w:rPr>
                <w:sz w:val="24"/>
              </w:rPr>
            </w:pPr>
            <w:r w:rsidRPr="00966BA8">
              <w:rPr>
                <w:color w:val="333333"/>
                <w:sz w:val="24"/>
              </w:rPr>
              <w:t>15</w:t>
            </w:r>
          </w:p>
        </w:tc>
        <w:tc>
          <w:tcPr>
            <w:tcW w:w="4159" w:type="dxa"/>
          </w:tcPr>
          <w:p w:rsidR="00845773" w:rsidRPr="00966BA8" w:rsidRDefault="00AC7A63">
            <w:pPr>
              <w:pStyle w:val="TableParagraph"/>
              <w:spacing w:line="292" w:lineRule="exact"/>
              <w:ind w:left="0" w:right="0"/>
              <w:rPr>
                <w:sz w:val="24"/>
              </w:rPr>
            </w:pPr>
            <w:r w:rsidRPr="00966BA8">
              <w:rPr>
                <w:color w:val="333333"/>
                <w:sz w:val="24"/>
              </w:rPr>
              <w:t>0</w:t>
            </w:r>
          </w:p>
        </w:tc>
        <w:tc>
          <w:tcPr>
            <w:tcW w:w="3856" w:type="dxa"/>
          </w:tcPr>
          <w:p w:rsidR="00845773" w:rsidRPr="00966BA8" w:rsidRDefault="00AC7A63">
            <w:pPr>
              <w:pStyle w:val="TableParagraph"/>
              <w:spacing w:line="292" w:lineRule="exact"/>
              <w:ind w:right="169"/>
              <w:rPr>
                <w:sz w:val="24"/>
              </w:rPr>
            </w:pPr>
            <w:r w:rsidRPr="00966BA8">
              <w:rPr>
                <w:color w:val="333333"/>
                <w:sz w:val="24"/>
              </w:rPr>
              <w:t>15</w:t>
            </w:r>
          </w:p>
        </w:tc>
        <w:tc>
          <w:tcPr>
            <w:tcW w:w="3608" w:type="dxa"/>
          </w:tcPr>
          <w:p w:rsidR="00845773" w:rsidRPr="00966BA8" w:rsidRDefault="00AC7A63">
            <w:pPr>
              <w:pStyle w:val="TableParagraph"/>
              <w:spacing w:line="292" w:lineRule="exact"/>
              <w:ind w:left="0" w:right="0"/>
              <w:rPr>
                <w:sz w:val="24"/>
              </w:rPr>
            </w:pPr>
            <w:r w:rsidRPr="00966BA8">
              <w:rPr>
                <w:color w:val="333333"/>
                <w:sz w:val="24"/>
              </w:rPr>
              <w:t>0</w:t>
            </w:r>
          </w:p>
        </w:tc>
      </w:tr>
    </w:tbl>
    <w:p w:rsidR="00966BA8" w:rsidRDefault="00966BA8" w:rsidP="00AC7A63">
      <w:pPr>
        <w:spacing w:line="360" w:lineRule="auto"/>
        <w:ind w:firstLine="709"/>
        <w:jc w:val="both"/>
        <w:rPr>
          <w:sz w:val="28"/>
          <w:szCs w:val="26"/>
        </w:rPr>
      </w:pPr>
    </w:p>
    <w:p w:rsidR="001F2E1E" w:rsidRPr="00966BA8" w:rsidRDefault="00AC7A63" w:rsidP="00AC7A63">
      <w:pPr>
        <w:spacing w:line="360" w:lineRule="auto"/>
        <w:ind w:firstLine="709"/>
        <w:jc w:val="both"/>
        <w:rPr>
          <w:sz w:val="28"/>
          <w:szCs w:val="26"/>
        </w:rPr>
      </w:pPr>
      <w:r w:rsidRPr="00966BA8">
        <w:rPr>
          <w:sz w:val="28"/>
          <w:szCs w:val="26"/>
        </w:rPr>
        <w:t>В соответствии с пунктом 21 Инструктивно-методических материалов по вопросам реализации Указа Презид</w:t>
      </w:r>
      <w:r w:rsidR="00966BA8">
        <w:rPr>
          <w:sz w:val="28"/>
          <w:szCs w:val="26"/>
        </w:rPr>
        <w:t>ента Российской Федерации от 29.12.</w:t>
      </w:r>
      <w:r w:rsidRPr="00966BA8">
        <w:rPr>
          <w:sz w:val="28"/>
          <w:szCs w:val="26"/>
        </w:rPr>
        <w:t>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r w:rsidR="00966BA8" w:rsidRPr="00966BA8">
        <w:rPr>
          <w:sz w:val="28"/>
          <w:szCs w:val="26"/>
        </w:rPr>
        <w:t>»</w:t>
      </w:r>
      <w:r w:rsidRPr="00966BA8">
        <w:rPr>
          <w:sz w:val="28"/>
          <w:szCs w:val="26"/>
        </w:rPr>
        <w:t xml:space="preserve"> (приложение к письму Минтруда России от 21.03.2023 № 28-6/10/П-2161 «О направлении Инструктивно-методических </w:t>
      </w:r>
      <w:r w:rsidRPr="00966BA8">
        <w:rPr>
          <w:sz w:val="28"/>
          <w:szCs w:val="26"/>
        </w:rPr>
        <w:lastRenderedPageBreak/>
        <w:t xml:space="preserve">материалов») размещается гиперссылка на Указ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для последовательного перехода на официальный интернет-портал правовой информации: </w:t>
      </w:r>
      <w:hyperlink r:id="rId4" w:history="1">
        <w:r w:rsidRPr="00966BA8">
          <w:rPr>
            <w:rStyle w:val="a5"/>
            <w:sz w:val="28"/>
            <w:szCs w:val="26"/>
          </w:rPr>
          <w:t>http://pravo.gov.ru/proxy/ips/?docbody=&amp;link_id=0&amp;nd=603637722</w:t>
        </w:r>
      </w:hyperlink>
      <w:r w:rsidRPr="00966BA8">
        <w:rPr>
          <w:sz w:val="28"/>
          <w:szCs w:val="26"/>
        </w:rPr>
        <w:t>.</w:t>
      </w:r>
    </w:p>
    <w:p w:rsidR="00AC7A63" w:rsidRPr="00966BA8" w:rsidRDefault="00AC7A63" w:rsidP="00AC7A63">
      <w:pPr>
        <w:spacing w:line="360" w:lineRule="auto"/>
        <w:ind w:firstLine="709"/>
        <w:jc w:val="both"/>
        <w:rPr>
          <w:sz w:val="28"/>
          <w:szCs w:val="26"/>
        </w:rPr>
      </w:pPr>
      <w:r w:rsidRPr="00966BA8">
        <w:rPr>
          <w:sz w:val="28"/>
          <w:szCs w:val="26"/>
        </w:rPr>
        <w:t>Размещение в информационно-телекоммуникационной сети «Интернет» сведений о доходах, расходах, об имуществе и обязательствах имущественного характера, представляемых в соответствии с Федеральным законом от 25.12.2008 № 273-ФЗ «О противодействии коррупции» и другими федеральными законами всеми категориями публичных должностных лиц и предоставление таких сведений общероссийским средствам массовой информации для опубликования не осуществляются до издания соответствующих нормативных правовых актов Российской Федерации.</w:t>
      </w:r>
    </w:p>
    <w:sectPr w:rsidR="00AC7A63" w:rsidRPr="00966BA8" w:rsidSect="00966BA8">
      <w:type w:val="continuous"/>
      <w:pgSz w:w="16850" w:h="11910" w:orient="landscape"/>
      <w:pgMar w:top="567" w:right="832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73"/>
    <w:rsid w:val="001F2E1E"/>
    <w:rsid w:val="00845773"/>
    <w:rsid w:val="00966BA8"/>
    <w:rsid w:val="00AC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5F3E"/>
  <w15:docId w15:val="{307546C7-A5EA-4274-B1C1-9076ECA8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70" w:right="170"/>
      <w:jc w:val="center"/>
    </w:pPr>
  </w:style>
  <w:style w:type="character" w:styleId="a5">
    <w:name w:val="Hyperlink"/>
    <w:basedOn w:val="a0"/>
    <w:uiPriority w:val="99"/>
    <w:semiHidden/>
    <w:unhideWhenUsed/>
    <w:rsid w:val="00AC7A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mazaeva</dc:creator>
  <cp:lastModifiedBy>Худайкулов Эдуард Владимирович</cp:lastModifiedBy>
  <cp:revision>3</cp:revision>
  <dcterms:created xsi:type="dcterms:W3CDTF">2023-05-16T11:23:00Z</dcterms:created>
  <dcterms:modified xsi:type="dcterms:W3CDTF">2023-05-16T11:35:00Z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2023-05-16T00:00:00Z</vt:filetime>
  </property>
</Properties>
</file>